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AA4D" w14:textId="77777777" w:rsidR="00FB3E3D" w:rsidRDefault="00FB3E3D" w:rsidP="00FB3E3D">
      <w:pPr>
        <w:pStyle w:val="NormalWeb"/>
        <w:spacing w:before="0" w:beforeAutospacing="0" w:after="0" w:afterAutospacing="0"/>
        <w:contextualSpacing/>
        <w:rPr>
          <w:rFonts w:asciiTheme="minorHAnsi" w:hAnsiTheme="minorHAnsi"/>
          <w:sz w:val="22"/>
          <w:szCs w:val="22"/>
        </w:rPr>
      </w:pPr>
    </w:p>
    <w:p w14:paraId="04CD7ACD" w14:textId="626BBDB2" w:rsidR="00B308E1" w:rsidRDefault="00B308E1" w:rsidP="001637E2">
      <w:pPr>
        <w:rPr>
          <w:b/>
          <w:bCs/>
          <w:sz w:val="28"/>
          <w:szCs w:val="28"/>
        </w:rPr>
      </w:pPr>
      <w:r>
        <w:rPr>
          <w:b/>
          <w:bCs/>
          <w:sz w:val="28"/>
          <w:szCs w:val="28"/>
        </w:rPr>
        <w:t>W</w:t>
      </w:r>
      <w:r w:rsidR="00FC3105" w:rsidRPr="00FC3105">
        <w:rPr>
          <w:b/>
          <w:bCs/>
          <w:sz w:val="28"/>
          <w:szCs w:val="28"/>
        </w:rPr>
        <w:t>ood smoke pollution</w:t>
      </w:r>
      <w:r>
        <w:rPr>
          <w:b/>
          <w:bCs/>
          <w:sz w:val="28"/>
          <w:szCs w:val="28"/>
        </w:rPr>
        <w:t xml:space="preserve"> – key data</w:t>
      </w:r>
    </w:p>
    <w:p w14:paraId="5A594262" w14:textId="2AA3DDE7" w:rsidR="00AD6FF9" w:rsidRPr="00AD6FF9" w:rsidRDefault="00AD6FF9" w:rsidP="00FD03C6">
      <w:pPr>
        <w:spacing w:before="240" w:after="120"/>
        <w:rPr>
          <w:b/>
          <w:bCs/>
        </w:rPr>
      </w:pPr>
      <w:r w:rsidRPr="00AD6FF9">
        <w:rPr>
          <w:b/>
          <w:bCs/>
        </w:rPr>
        <w:t>Victorian, NSW and Australian data</w:t>
      </w:r>
    </w:p>
    <w:p w14:paraId="4762A719" w14:textId="28F71912" w:rsidR="005039F5" w:rsidRDefault="00B308E1" w:rsidP="00F4054D">
      <w:pPr>
        <w:pStyle w:val="ListParagraph"/>
        <w:numPr>
          <w:ilvl w:val="0"/>
          <w:numId w:val="14"/>
        </w:numPr>
      </w:pPr>
      <w:r w:rsidRPr="00B308E1">
        <w:rPr>
          <w:rFonts w:asciiTheme="minorHAnsi" w:hAnsiTheme="minorHAnsi" w:cstheme="minorHAnsi"/>
          <w:color w:val="000000"/>
          <w:shd w:val="clear" w:color="auto" w:fill="FFFFFF"/>
        </w:rPr>
        <w:t xml:space="preserve">The EPA Victoria's newly released </w:t>
      </w:r>
      <w:hyperlink r:id="rId8" w:tgtFrame="_blank" w:history="1">
        <w:r w:rsidRPr="00B308E1">
          <w:rPr>
            <w:rStyle w:val="Hyperlink"/>
            <w:rFonts w:asciiTheme="minorHAnsi" w:hAnsiTheme="minorHAnsi" w:cstheme="minorHAnsi"/>
            <w:bdr w:val="none" w:sz="0" w:space="0" w:color="auto" w:frame="1"/>
          </w:rPr>
          <w:t>2016 Emissions Inventory Report</w:t>
        </w:r>
      </w:hyperlink>
      <w:r w:rsidRPr="00B308E1">
        <w:rPr>
          <w:rFonts w:asciiTheme="minorHAnsi" w:hAnsiTheme="minorHAnsi" w:cstheme="minorHAnsi"/>
          <w:color w:val="000000"/>
          <w:shd w:val="clear" w:color="auto" w:fill="FFFFFF"/>
        </w:rPr>
        <w:t xml:space="preserve"> finds domestic wood heaters to be the </w:t>
      </w:r>
      <w:r w:rsidRPr="00B308E1">
        <w:rPr>
          <w:rStyle w:val="Strong"/>
          <w:rFonts w:asciiTheme="minorHAnsi" w:hAnsiTheme="minorHAnsi" w:cstheme="minorHAnsi"/>
          <w:color w:val="000000"/>
          <w:bdr w:val="none" w:sz="0" w:space="0" w:color="auto" w:frame="1"/>
          <w:shd w:val="clear" w:color="auto" w:fill="FFFFFF"/>
        </w:rPr>
        <w:t xml:space="preserve">largest source of human-generated particle pollution (51%) </w:t>
      </w:r>
      <w:r w:rsidRPr="00B308E1">
        <w:rPr>
          <w:rFonts w:asciiTheme="minorHAnsi" w:hAnsiTheme="minorHAnsi" w:cstheme="minorHAnsi"/>
          <w:color w:val="000000"/>
          <w:shd w:val="clear" w:color="auto" w:fill="FFFFFF"/>
        </w:rPr>
        <w:t>across Melbourne and Victoria. While only 5% of Melbourne households use wood heaters (</w:t>
      </w:r>
      <w:hyperlink r:id="rId9" w:tgtFrame="_blank" w:history="1">
        <w:r w:rsidRPr="00B308E1">
          <w:rPr>
            <w:rStyle w:val="Hyperlink"/>
            <w:rFonts w:asciiTheme="minorHAnsi" w:hAnsiTheme="minorHAnsi" w:cstheme="minorHAnsi"/>
            <w:bdr w:val="none" w:sz="0" w:space="0" w:color="auto" w:frame="1"/>
          </w:rPr>
          <w:t>PIA, page 31</w:t>
        </w:r>
      </w:hyperlink>
      <w:r w:rsidRPr="00B308E1">
        <w:rPr>
          <w:rFonts w:asciiTheme="minorHAnsi" w:hAnsiTheme="minorHAnsi" w:cstheme="minorHAnsi"/>
          <w:color w:val="000000"/>
          <w:shd w:val="clear" w:color="auto" w:fill="FFFFFF"/>
        </w:rPr>
        <w:t xml:space="preserve">) they are estimated contribute half (51%) of human-generated fine particle (PM2.5) air pollution in Melbourne, more than vehicles (30%) and aircraft (7%). Across Victoria, wood heaters were estimated to be the main source of PM2.5 pollution, contributing 38%, more than fossil fuel burning (27%) and vehicle pollution (22%) [p.13]. </w:t>
      </w:r>
    </w:p>
    <w:p w14:paraId="2764B48E" w14:textId="061A314E" w:rsidR="00FC3105" w:rsidRPr="00257E5B" w:rsidRDefault="00FC3105" w:rsidP="00F4054D">
      <w:pPr>
        <w:pStyle w:val="ListParagraph"/>
        <w:numPr>
          <w:ilvl w:val="0"/>
          <w:numId w:val="14"/>
        </w:numPr>
      </w:pPr>
      <w:r>
        <w:t xml:space="preserve">The </w:t>
      </w:r>
      <w:hyperlink r:id="rId10" w:history="1">
        <w:r w:rsidRPr="00FC3105">
          <w:rPr>
            <w:rStyle w:val="Hyperlink"/>
          </w:rPr>
          <w:t>NSW draft Clean Air Strategy</w:t>
        </w:r>
      </w:hyperlink>
      <w:r>
        <w:t xml:space="preserve"> finds that </w:t>
      </w:r>
      <w:r>
        <w:rPr>
          <w:rStyle w:val="None"/>
        </w:rPr>
        <w:t>wood heaters are responsible ‘</w:t>
      </w:r>
      <w:r>
        <w:t xml:space="preserve">for the single largest health impact, </w:t>
      </w:r>
      <w:r w:rsidRPr="006004AD">
        <w:rPr>
          <w:rStyle w:val="None"/>
        </w:rPr>
        <w:t>estimated to contribute to 100 deaths in 2010–11’</w:t>
      </w:r>
      <w:r>
        <w:rPr>
          <w:rStyle w:val="None"/>
        </w:rPr>
        <w:t xml:space="preserve"> (page 20)</w:t>
      </w:r>
      <w:r w:rsidRPr="006004AD">
        <w:rPr>
          <w:rStyle w:val="None"/>
        </w:rPr>
        <w:t xml:space="preserve"> </w:t>
      </w:r>
      <w:r>
        <w:rPr>
          <w:rStyle w:val="None"/>
        </w:rPr>
        <w:t xml:space="preserve">and </w:t>
      </w:r>
      <w:r w:rsidRPr="006004AD">
        <w:rPr>
          <w:rStyle w:val="None"/>
        </w:rPr>
        <w:t>includ</w:t>
      </w:r>
      <w:r>
        <w:rPr>
          <w:rStyle w:val="None"/>
        </w:rPr>
        <w:t>es</w:t>
      </w:r>
      <w:r w:rsidRPr="006004AD">
        <w:rPr>
          <w:rStyle w:val="None"/>
        </w:rPr>
        <w:t xml:space="preserve"> that </w:t>
      </w:r>
      <w:r>
        <w:rPr>
          <w:rStyle w:val="None"/>
        </w:rPr>
        <w:t>i</w:t>
      </w:r>
      <w:r w:rsidRPr="006004AD">
        <w:rPr>
          <w:rStyle w:val="None"/>
          <w:rFonts w:cs="Arial Unicode MS"/>
        </w:rPr>
        <w:t>n Sydney – 46% of PM2.5 exposure from wood heaters, despite only 4.4% of Sydney households using wood as main heating (Fig 13</w:t>
      </w:r>
      <w:r>
        <w:rPr>
          <w:rStyle w:val="None"/>
        </w:rPr>
        <w:t>).</w:t>
      </w:r>
    </w:p>
    <w:p w14:paraId="62FFE2B6" w14:textId="2BA7AD0A" w:rsidR="00200614" w:rsidRDefault="00200614" w:rsidP="00F4054D">
      <w:pPr>
        <w:pStyle w:val="ListParagraph"/>
        <w:numPr>
          <w:ilvl w:val="0"/>
          <w:numId w:val="14"/>
        </w:numPr>
      </w:pPr>
      <w:r w:rsidRPr="00257E5B">
        <w:t xml:space="preserve">Only </w:t>
      </w:r>
      <w:hyperlink r:id="rId11" w:history="1">
        <w:r w:rsidR="00B308E1" w:rsidRPr="00B308E1">
          <w:rPr>
            <w:rStyle w:val="Hyperlink"/>
          </w:rPr>
          <w:t>about 5 percent</w:t>
        </w:r>
      </w:hyperlink>
      <w:r w:rsidR="00B308E1">
        <w:t xml:space="preserve"> </w:t>
      </w:r>
      <w:r w:rsidRPr="00257E5B">
        <w:t xml:space="preserve">of people </w:t>
      </w:r>
      <w:r w:rsidR="00B308E1">
        <w:t xml:space="preserve">in metropolitan areas </w:t>
      </w:r>
      <w:r w:rsidRPr="00257E5B">
        <w:t>use wood heaters</w:t>
      </w:r>
      <w:r w:rsidR="00FC3105">
        <w:t xml:space="preserve"> in Australia</w:t>
      </w:r>
      <w:r w:rsidRPr="00257E5B">
        <w:t xml:space="preserve">, but </w:t>
      </w:r>
      <w:r w:rsidR="0094316C" w:rsidRPr="00257E5B">
        <w:t xml:space="preserve">they </w:t>
      </w:r>
      <w:r w:rsidR="00B308E1">
        <w:t xml:space="preserve">impact on </w:t>
      </w:r>
      <w:r w:rsidRPr="00257E5B">
        <w:t>the health of other 9</w:t>
      </w:r>
      <w:r w:rsidR="00B308E1">
        <w:t>5</w:t>
      </w:r>
      <w:r w:rsidRPr="00257E5B">
        <w:t xml:space="preserve"> percent</w:t>
      </w:r>
      <w:r w:rsidR="009E43F9" w:rsidRPr="00257E5B">
        <w:t xml:space="preserve"> who don’t</w:t>
      </w:r>
      <w:r w:rsidR="0063255B">
        <w:t>.</w:t>
      </w:r>
    </w:p>
    <w:p w14:paraId="0E547B7F" w14:textId="528B6493" w:rsidR="00AD6FF9" w:rsidRDefault="00AD6FF9" w:rsidP="00AD6FF9">
      <w:pPr>
        <w:pStyle w:val="ListParagraph"/>
        <w:numPr>
          <w:ilvl w:val="0"/>
          <w:numId w:val="14"/>
        </w:numPr>
      </w:pPr>
      <w:r w:rsidRPr="00257E5B">
        <w:t xml:space="preserve">The Victorian Auditor General </w:t>
      </w:r>
      <w:hyperlink r:id="rId12" w:history="1">
        <w:r w:rsidRPr="00257E5B">
          <w:rPr>
            <w:rStyle w:val="Hyperlink"/>
          </w:rPr>
          <w:t>report</w:t>
        </w:r>
      </w:hyperlink>
      <w:r w:rsidRPr="00257E5B">
        <w:t xml:space="preserve"> 2018 found that EPA’s limited air quality monitoring is</w:t>
      </w:r>
      <w:r>
        <w:t xml:space="preserve"> misrepresenting air pollution levels in Victoria including</w:t>
      </w:r>
      <w:r w:rsidRPr="00257E5B">
        <w:t xml:space="preserve"> failing to detect localised air pollution</w:t>
      </w:r>
      <w:r>
        <w:t xml:space="preserve"> impacting residential areas.</w:t>
      </w:r>
    </w:p>
    <w:p w14:paraId="117C6498" w14:textId="776975C9" w:rsidR="00AD6FF9" w:rsidRPr="00AD6FF9" w:rsidRDefault="00AD6FF9" w:rsidP="00FD03C6">
      <w:pPr>
        <w:spacing w:before="240" w:after="120"/>
        <w:rPr>
          <w:b/>
          <w:bCs/>
        </w:rPr>
      </w:pPr>
      <w:r w:rsidRPr="00AD6FF9">
        <w:rPr>
          <w:b/>
          <w:bCs/>
        </w:rPr>
        <w:t>Health impacts</w:t>
      </w:r>
    </w:p>
    <w:p w14:paraId="5CEF7AA6" w14:textId="39724C28" w:rsidR="00AD6FF9" w:rsidRPr="00257E5B" w:rsidRDefault="00F4054D" w:rsidP="00AD6FF9">
      <w:pPr>
        <w:pStyle w:val="ListParagraph"/>
        <w:numPr>
          <w:ilvl w:val="0"/>
          <w:numId w:val="14"/>
        </w:numPr>
      </w:pPr>
      <w:r w:rsidRPr="00257E5B">
        <w:t xml:space="preserve">The </w:t>
      </w:r>
      <w:r w:rsidR="00317C56" w:rsidRPr="00257E5B">
        <w:t xml:space="preserve">damaging </w:t>
      </w:r>
      <w:r w:rsidRPr="00257E5B">
        <w:t xml:space="preserve">health impacts of particle pollution (PM2.5) from wood smoke </w:t>
      </w:r>
      <w:r w:rsidR="00BE5529" w:rsidRPr="00257E5B">
        <w:t xml:space="preserve">are </w:t>
      </w:r>
      <w:hyperlink r:id="rId13" w:history="1">
        <w:r w:rsidR="00445127" w:rsidRPr="00257E5B">
          <w:rPr>
            <w:rStyle w:val="Hyperlink"/>
          </w:rPr>
          <w:t>significant</w:t>
        </w:r>
      </w:hyperlink>
      <w:r w:rsidR="00445127" w:rsidRPr="00257E5B">
        <w:t xml:space="preserve"> and </w:t>
      </w:r>
      <w:hyperlink r:id="rId14" w:history="1">
        <w:r w:rsidR="00BE5529" w:rsidRPr="00257E5B">
          <w:rPr>
            <w:rStyle w:val="Hyperlink"/>
          </w:rPr>
          <w:t xml:space="preserve">well </w:t>
        </w:r>
        <w:r w:rsidR="00445127" w:rsidRPr="00257E5B">
          <w:rPr>
            <w:rStyle w:val="Hyperlink"/>
          </w:rPr>
          <w:t>known</w:t>
        </w:r>
      </w:hyperlink>
      <w:r w:rsidR="005039F5" w:rsidRPr="00257E5B">
        <w:t xml:space="preserve"> </w:t>
      </w:r>
      <w:r w:rsidR="009E43F9" w:rsidRPr="00257E5B">
        <w:t xml:space="preserve">including that for </w:t>
      </w:r>
      <w:hyperlink r:id="rId15" w:history="1">
        <w:r w:rsidR="009E43F9" w:rsidRPr="00257E5B">
          <w:rPr>
            <w:rStyle w:val="Hyperlink"/>
          </w:rPr>
          <w:t>every new modern</w:t>
        </w:r>
      </w:hyperlink>
      <w:r w:rsidR="009E43F9" w:rsidRPr="00257E5B">
        <w:t xml:space="preserve"> wood heater per hectare there is a 7% increase that a child under 3 years will end up in emergency</w:t>
      </w:r>
      <w:r w:rsidR="00B308E1">
        <w:t xml:space="preserve"> for all causes except accidents</w:t>
      </w:r>
      <w:r w:rsidR="00257E5B">
        <w:t>; the health costs of wood heater</w:t>
      </w:r>
      <w:r w:rsidR="002924EF">
        <w:t xml:space="preserve"> smoke</w:t>
      </w:r>
      <w:r w:rsidR="00604178">
        <w:t xml:space="preserve"> </w:t>
      </w:r>
      <w:r w:rsidR="00604178" w:rsidRPr="00604178">
        <w:rPr>
          <w:i/>
          <w:iCs/>
        </w:rPr>
        <w:t>in Victoria alone</w:t>
      </w:r>
      <w:r w:rsidR="00257E5B">
        <w:t xml:space="preserve"> is </w:t>
      </w:r>
      <w:hyperlink r:id="rId16" w:history="1">
        <w:r w:rsidR="00257E5B" w:rsidRPr="002924EF">
          <w:rPr>
            <w:rStyle w:val="Hyperlink"/>
          </w:rPr>
          <w:t>estimated as $8 billion</w:t>
        </w:r>
      </w:hyperlink>
      <w:r w:rsidR="00257E5B">
        <w:t xml:space="preserve"> over the next decade</w:t>
      </w:r>
      <w:r w:rsidR="00604178">
        <w:t xml:space="preserve">. Australia-wide </w:t>
      </w:r>
      <w:r w:rsidR="00C01206">
        <w:t xml:space="preserve">the estimated cost </w:t>
      </w:r>
      <w:r w:rsidR="00604178">
        <w:t>i</w:t>
      </w:r>
      <w:r w:rsidR="00C01206">
        <w:t xml:space="preserve">s </w:t>
      </w:r>
      <w:hyperlink r:id="rId17" w:history="1">
        <w:r w:rsidR="00C01206" w:rsidRPr="00C01206">
          <w:rPr>
            <w:rStyle w:val="Hyperlink"/>
          </w:rPr>
          <w:t xml:space="preserve">$3.4 billion </w:t>
        </w:r>
        <w:r w:rsidR="00D15247" w:rsidRPr="00C01206">
          <w:rPr>
            <w:rStyle w:val="Hyperlink"/>
          </w:rPr>
          <w:t>per year</w:t>
        </w:r>
      </w:hyperlink>
      <w:r w:rsidR="00D15247">
        <w:t xml:space="preserve"> </w:t>
      </w:r>
      <w:r w:rsidR="005223D4">
        <w:t xml:space="preserve">or </w:t>
      </w:r>
      <w:r w:rsidR="00D15247">
        <w:t>$4000-</w:t>
      </w:r>
      <w:r w:rsidR="005223D4">
        <w:t xml:space="preserve"> $5</w:t>
      </w:r>
      <w:r w:rsidR="00D15247">
        <w:t>6</w:t>
      </w:r>
      <w:r w:rsidR="005223D4">
        <w:t>00 per wood heater</w:t>
      </w:r>
      <w:r w:rsidR="00D15247">
        <w:t xml:space="preserve"> per year</w:t>
      </w:r>
      <w:r w:rsidR="00604178">
        <w:t>.</w:t>
      </w:r>
    </w:p>
    <w:p w14:paraId="72ECA566" w14:textId="635690EF" w:rsidR="00AD6FF9" w:rsidRPr="00AD6FF9" w:rsidRDefault="00291B74" w:rsidP="00AD6FF9">
      <w:pPr>
        <w:pStyle w:val="ListParagraph"/>
        <w:numPr>
          <w:ilvl w:val="0"/>
          <w:numId w:val="14"/>
        </w:numPr>
      </w:pPr>
      <w:r w:rsidRPr="00257E5B">
        <w:t>P</w:t>
      </w:r>
      <w:r w:rsidR="00200614" w:rsidRPr="00257E5B">
        <w:t xml:space="preserve">eople on low incomes </w:t>
      </w:r>
      <w:r w:rsidRPr="00257E5B">
        <w:t>are most at risk as they</w:t>
      </w:r>
      <w:r w:rsidR="009E43F9" w:rsidRPr="00257E5B">
        <w:t xml:space="preserve"> are</w:t>
      </w:r>
      <w:r w:rsidR="00200614" w:rsidRPr="00257E5B">
        <w:t xml:space="preserve"> </w:t>
      </w:r>
      <w:hyperlink r:id="rId18" w:history="1">
        <w:r w:rsidR="00200614" w:rsidRPr="00257E5B">
          <w:rPr>
            <w:rStyle w:val="Hyperlink"/>
          </w:rPr>
          <w:t>more likely</w:t>
        </w:r>
      </w:hyperlink>
      <w:r w:rsidR="00200614" w:rsidRPr="00257E5B">
        <w:t xml:space="preserve"> to</w:t>
      </w:r>
      <w:r w:rsidR="004B0FAC" w:rsidRPr="00257E5B">
        <w:t xml:space="preserve"> have health conditions and</w:t>
      </w:r>
      <w:r w:rsidR="00200614" w:rsidRPr="00257E5B">
        <w:t xml:space="preserve"> </w:t>
      </w:r>
      <w:r w:rsidR="004B0FAC" w:rsidRPr="00257E5B">
        <w:t xml:space="preserve">live in areas </w:t>
      </w:r>
      <w:r w:rsidR="00200614" w:rsidRPr="00257E5B">
        <w:t>with high</w:t>
      </w:r>
      <w:r w:rsidR="004B0FAC" w:rsidRPr="00257E5B">
        <w:t>er</w:t>
      </w:r>
      <w:r w:rsidR="00200614" w:rsidRPr="00257E5B">
        <w:t xml:space="preserve"> number</w:t>
      </w:r>
      <w:r w:rsidR="004B0FAC" w:rsidRPr="00257E5B">
        <w:t>s</w:t>
      </w:r>
      <w:r w:rsidR="00200614" w:rsidRPr="00257E5B">
        <w:t xml:space="preserve"> of wood heaters</w:t>
      </w:r>
      <w:r w:rsidR="003630FF" w:rsidRPr="00257E5B">
        <w:t>/wood burning</w:t>
      </w:r>
      <w:r w:rsidR="00317C56" w:rsidRPr="00257E5B">
        <w:t>. Children are particularly vulnerable to the impacts of smoke.</w:t>
      </w:r>
    </w:p>
    <w:p w14:paraId="2FAA3793" w14:textId="2EA0D0DC" w:rsidR="00AD6FF9" w:rsidRPr="00AD6FF9" w:rsidRDefault="00AD6FF9" w:rsidP="00FD03C6">
      <w:pPr>
        <w:spacing w:before="240" w:after="120"/>
        <w:rPr>
          <w:b/>
          <w:bCs/>
        </w:rPr>
      </w:pPr>
      <w:r w:rsidRPr="00AD6FF9">
        <w:rPr>
          <w:b/>
          <w:bCs/>
        </w:rPr>
        <w:t>Air pollution globally</w:t>
      </w:r>
    </w:p>
    <w:p w14:paraId="4103BA58" w14:textId="77777777" w:rsidR="00B308E1" w:rsidRPr="00B308E1" w:rsidRDefault="00B308E1" w:rsidP="00F4054D">
      <w:pPr>
        <w:pStyle w:val="ListParagraph"/>
        <w:numPr>
          <w:ilvl w:val="0"/>
          <w:numId w:val="14"/>
        </w:numPr>
      </w:pPr>
      <w:r>
        <w:rPr>
          <w:rFonts w:cs="Calibri"/>
          <w:color w:val="000000"/>
          <w:shd w:val="clear" w:color="auto" w:fill="FFFFFF"/>
        </w:rPr>
        <w:t>T</w:t>
      </w:r>
      <w:r w:rsidRPr="00B308E1">
        <w:rPr>
          <w:rFonts w:cs="Calibri"/>
          <w:color w:val="000000"/>
          <w:shd w:val="clear" w:color="auto" w:fill="FFFFFF"/>
        </w:rPr>
        <w:t xml:space="preserve">he World Health </w:t>
      </w:r>
      <w:proofErr w:type="spellStart"/>
      <w:r w:rsidRPr="00B308E1">
        <w:rPr>
          <w:rFonts w:cs="Calibri"/>
          <w:color w:val="000000"/>
          <w:shd w:val="clear" w:color="auto" w:fill="FFFFFF"/>
        </w:rPr>
        <w:t>Organisation</w:t>
      </w:r>
      <w:proofErr w:type="spellEnd"/>
      <w:r w:rsidRPr="00B308E1">
        <w:rPr>
          <w:rFonts w:cs="Calibri"/>
          <w:color w:val="000000"/>
          <w:shd w:val="clear" w:color="auto" w:fill="FFFFFF"/>
        </w:rPr>
        <w:t xml:space="preserve"> new</w:t>
      </w:r>
      <w:hyperlink r:id="rId19" w:tgtFrame="_blank" w:history="1">
        <w:r w:rsidRPr="00B308E1">
          <w:rPr>
            <w:rStyle w:val="Hyperlink"/>
            <w:rFonts w:cs="Calibri"/>
            <w:bdr w:val="none" w:sz="0" w:space="0" w:color="auto" w:frame="1"/>
          </w:rPr>
          <w:t xml:space="preserve"> 2021 global air quality guidelines</w:t>
        </w:r>
      </w:hyperlink>
      <w:r>
        <w:rPr>
          <w:rFonts w:cs="Calibri"/>
          <w:color w:val="000000"/>
          <w:shd w:val="clear" w:color="auto" w:fill="FFFFFF"/>
        </w:rPr>
        <w:t xml:space="preserve"> are the </w:t>
      </w:r>
      <w:r w:rsidRPr="00B308E1">
        <w:rPr>
          <w:rFonts w:cs="Calibri"/>
          <w:color w:val="000000"/>
          <w:shd w:val="clear" w:color="auto" w:fill="FFFFFF"/>
        </w:rPr>
        <w:t xml:space="preserve">first update in fifteen years. The </w:t>
      </w:r>
      <w:r w:rsidRPr="00B308E1">
        <w:rPr>
          <w:rFonts w:cs="Calibri"/>
          <w:color w:val="3C4245"/>
          <w:bdr w:val="none" w:sz="0" w:space="0" w:color="auto" w:frame="1"/>
          <w:shd w:val="clear" w:color="auto" w:fill="FFFFFF"/>
        </w:rPr>
        <w:t>guidelines recommend reductions in levels of key air pollutants (including nitrogen, PM.25 and PM10). The guidelines highlight that</w:t>
      </w:r>
      <w:r w:rsidRPr="00B308E1">
        <w:rPr>
          <w:rFonts w:cs="Calibri"/>
          <w:color w:val="000000"/>
          <w:shd w:val="clear" w:color="auto" w:fill="FFFFFF"/>
        </w:rPr>
        <w:t xml:space="preserve"> there is now a much </w:t>
      </w:r>
      <w:r w:rsidRPr="00B308E1">
        <w:rPr>
          <w:rFonts w:cs="Calibri"/>
        </w:rPr>
        <w:t>stronger</w:t>
      </w:r>
      <w:r w:rsidRPr="00B308E1">
        <w:rPr>
          <w:rFonts w:cs="Calibri"/>
          <w:color w:val="000000"/>
          <w:shd w:val="clear" w:color="auto" w:fill="FFFFFF"/>
        </w:rPr>
        <w:t xml:space="preserve"> body of evidence to show how air pollution affects different aspects of health at even lower concentrations than previously understood. These new guidelines should challenge Australian policy makers to review the current particulate matter levels of the </w:t>
      </w:r>
      <w:hyperlink r:id="rId20" w:tgtFrame="_blank" w:history="1">
        <w:r w:rsidRPr="00B308E1">
          <w:rPr>
            <w:rStyle w:val="Hyperlink"/>
            <w:rFonts w:cs="Calibri"/>
            <w:bdr w:val="none" w:sz="0" w:space="0" w:color="auto" w:frame="1"/>
          </w:rPr>
          <w:t>National Environment Protection (Ambient Air Quality) Measure (NEPM)</w:t>
        </w:r>
      </w:hyperlink>
      <w:r w:rsidRPr="00B308E1">
        <w:rPr>
          <w:rFonts w:cs="Calibri"/>
          <w:color w:val="000000"/>
          <w:shd w:val="clear" w:color="auto" w:fill="FFFFFF"/>
        </w:rPr>
        <w:t xml:space="preserve">. For example, the PM2.5 level of the NEPM for a </w:t>
      </w:r>
      <w:proofErr w:type="gramStart"/>
      <w:r w:rsidRPr="00B308E1">
        <w:rPr>
          <w:rFonts w:cs="Calibri"/>
          <w:color w:val="000000"/>
          <w:shd w:val="clear" w:color="auto" w:fill="FFFFFF"/>
        </w:rPr>
        <w:t>24 hour</w:t>
      </w:r>
      <w:proofErr w:type="gramEnd"/>
      <w:r w:rsidRPr="00B308E1">
        <w:rPr>
          <w:rFonts w:cs="Calibri"/>
          <w:color w:val="000000"/>
          <w:shd w:val="clear" w:color="auto" w:fill="FFFFFF"/>
        </w:rPr>
        <w:t xml:space="preserve"> period is 25ug/m3 while the new guidelines set levels at 15 ug/m3. </w:t>
      </w:r>
    </w:p>
    <w:p w14:paraId="175BD0B9" w14:textId="322E9F20" w:rsidR="00AD6FF9" w:rsidRPr="00AD6FF9" w:rsidRDefault="00AD6FF9" w:rsidP="00FD03C6">
      <w:pPr>
        <w:spacing w:before="240" w:after="120"/>
        <w:rPr>
          <w:b/>
          <w:bCs/>
        </w:rPr>
      </w:pPr>
      <w:r w:rsidRPr="00AD6FF9">
        <w:rPr>
          <w:b/>
          <w:bCs/>
        </w:rPr>
        <w:t>Modern wood heaters – myth versus reality</w:t>
      </w:r>
    </w:p>
    <w:p w14:paraId="43C60BA2" w14:textId="65206CF8" w:rsidR="00EE63C7" w:rsidRDefault="00200614" w:rsidP="000D3FC1">
      <w:pPr>
        <w:pStyle w:val="ListParagraph"/>
        <w:numPr>
          <w:ilvl w:val="0"/>
          <w:numId w:val="14"/>
        </w:numPr>
      </w:pPr>
      <w:r w:rsidRPr="00257E5B">
        <w:t>St</w:t>
      </w:r>
      <w:r w:rsidR="00F4054D" w:rsidRPr="00257E5B">
        <w:t xml:space="preserve">udies </w:t>
      </w:r>
      <w:hyperlink r:id="rId21" w:history="1">
        <w:r w:rsidR="00F4054D" w:rsidRPr="00257E5B">
          <w:rPr>
            <w:rStyle w:val="Hyperlink"/>
          </w:rPr>
          <w:t>have shown</w:t>
        </w:r>
      </w:hyperlink>
      <w:r w:rsidR="00F4054D" w:rsidRPr="00257E5B">
        <w:t xml:space="preserve"> that w</w:t>
      </w:r>
      <w:r w:rsidR="00DD0E06" w:rsidRPr="00257E5B">
        <w:t xml:space="preserve">ood heater standards </w:t>
      </w:r>
      <w:r w:rsidR="003327AF" w:rsidRPr="00257E5B">
        <w:t>do</w:t>
      </w:r>
      <w:r w:rsidR="00DD0E06" w:rsidRPr="00257E5B">
        <w:t xml:space="preserve"> not</w:t>
      </w:r>
      <w:r w:rsidR="00445127" w:rsidRPr="00257E5B">
        <w:t xml:space="preserve"> </w:t>
      </w:r>
      <w:r w:rsidR="00BE5529" w:rsidRPr="00257E5B">
        <w:t>reduc</w:t>
      </w:r>
      <w:r w:rsidR="00445127" w:rsidRPr="00257E5B">
        <w:t>e</w:t>
      </w:r>
      <w:r w:rsidR="00BE5529" w:rsidRPr="00257E5B">
        <w:t xml:space="preserve"> emissions</w:t>
      </w:r>
      <w:r w:rsidR="0070776E" w:rsidRPr="00257E5B">
        <w:t>. I</w:t>
      </w:r>
      <w:r w:rsidR="00291B74" w:rsidRPr="00257E5B">
        <w:t>n real life</w:t>
      </w:r>
      <w:r w:rsidR="0070776E" w:rsidRPr="00257E5B">
        <w:t xml:space="preserve"> wood heaters produce far </w:t>
      </w:r>
      <w:hyperlink r:id="rId22" w:history="1">
        <w:r w:rsidR="0070776E" w:rsidRPr="0063255B">
          <w:rPr>
            <w:rStyle w:val="Hyperlink"/>
          </w:rPr>
          <w:t>higher emissions</w:t>
        </w:r>
      </w:hyperlink>
      <w:r w:rsidR="0070776E" w:rsidRPr="00257E5B">
        <w:t xml:space="preserve"> -</w:t>
      </w:r>
      <w:r w:rsidR="00291B74" w:rsidRPr="00257E5B">
        <w:t xml:space="preserve"> individuals </w:t>
      </w:r>
      <w:r w:rsidR="0070776E" w:rsidRPr="00257E5B">
        <w:t xml:space="preserve">can </w:t>
      </w:r>
      <w:r w:rsidR="00291B74" w:rsidRPr="00257E5B">
        <w:t>burn damp or</w:t>
      </w:r>
      <w:r w:rsidR="0070776E" w:rsidRPr="00257E5B">
        <w:t xml:space="preserve"> painted</w:t>
      </w:r>
      <w:r w:rsidR="00291B74" w:rsidRPr="00257E5B">
        <w:t xml:space="preserve"> wood and allow heaters to smolder overnight</w:t>
      </w:r>
      <w:r w:rsidR="002924EF">
        <w:t>.</w:t>
      </w:r>
    </w:p>
    <w:p w14:paraId="72D9B643" w14:textId="77777777" w:rsidR="00AD6FF9" w:rsidRDefault="00B308E1" w:rsidP="00AD6FF9">
      <w:pPr>
        <w:pStyle w:val="ListParagraph"/>
        <w:numPr>
          <w:ilvl w:val="0"/>
          <w:numId w:val="14"/>
        </w:numPr>
      </w:pPr>
      <w:r>
        <w:t>New modern wood heaters (often referred to as Eco or Scandinavian wood heaters) are almost as polluting as older models.</w:t>
      </w:r>
      <w:r w:rsidR="00AD6FF9">
        <w:t xml:space="preserve"> </w:t>
      </w:r>
      <w:r w:rsidR="00AD6FF9" w:rsidRPr="00AD6FF9">
        <w:t>One eco-certified wood stove is rated at 3.1grams/h of particulate matter which is equal to six heavy-duty lorries which are rated at 0.5grams/h of particulate matter each.</w:t>
      </w:r>
    </w:p>
    <w:p w14:paraId="77616B15" w14:textId="723DDD8B" w:rsidR="00AD6FF9" w:rsidRPr="00AD6FF9" w:rsidRDefault="00AD6FF9" w:rsidP="00AD6FF9">
      <w:pPr>
        <w:pStyle w:val="ListParagraph"/>
        <w:numPr>
          <w:ilvl w:val="0"/>
          <w:numId w:val="14"/>
        </w:numPr>
      </w:pPr>
      <w:r>
        <w:t xml:space="preserve">Wood burning is the opposite of environmentally friendly – it is </w:t>
      </w:r>
      <w:hyperlink r:id="rId23" w:history="1">
        <w:r w:rsidRPr="00257E5B">
          <w:rPr>
            <w:rStyle w:val="Hyperlink"/>
          </w:rPr>
          <w:t>speeding up global warming</w:t>
        </w:r>
      </w:hyperlink>
      <w:r w:rsidRPr="00257E5B">
        <w:t xml:space="preserve"> and climate change</w:t>
      </w:r>
      <w:r>
        <w:t>.</w:t>
      </w:r>
      <w:r w:rsidRPr="00AD6FF9">
        <w:rPr>
          <w:rFonts w:ascii="Open Sans" w:hAnsi="Open Sans" w:cs="Open Sans"/>
          <w:color w:val="5E5E5E"/>
          <w:shd w:val="clear" w:color="auto" w:fill="FFFFFF"/>
        </w:rPr>
        <w:t xml:space="preserve"> </w:t>
      </w:r>
    </w:p>
    <w:p w14:paraId="2FAD7917" w14:textId="05F3DC91" w:rsidR="00AD6FF9" w:rsidRPr="00AD6FF9" w:rsidRDefault="00AD6FF9" w:rsidP="00FD03C6">
      <w:pPr>
        <w:spacing w:before="240" w:after="120"/>
        <w:rPr>
          <w:b/>
          <w:bCs/>
        </w:rPr>
      </w:pPr>
      <w:r w:rsidRPr="00AD6FF9">
        <w:rPr>
          <w:b/>
          <w:bCs/>
        </w:rPr>
        <w:t>The policy versus the practice</w:t>
      </w:r>
    </w:p>
    <w:p w14:paraId="21E5EF58" w14:textId="0F87B444" w:rsidR="00AD6FF9" w:rsidRPr="00AD6FF9" w:rsidRDefault="00291B74" w:rsidP="00AD6FF9">
      <w:pPr>
        <w:pStyle w:val="ListParagraph"/>
        <w:numPr>
          <w:ilvl w:val="0"/>
          <w:numId w:val="14"/>
        </w:numPr>
      </w:pPr>
      <w:r w:rsidRPr="00257E5B">
        <w:t xml:space="preserve">Local council responses </w:t>
      </w:r>
      <w:r w:rsidR="00317C56" w:rsidRPr="00257E5B">
        <w:t xml:space="preserve">to </w:t>
      </w:r>
      <w:r w:rsidR="0070776E" w:rsidRPr="00257E5B">
        <w:t xml:space="preserve">wood smoke </w:t>
      </w:r>
      <w:r w:rsidR="00317C56" w:rsidRPr="00257E5B">
        <w:t>have proven to be</w:t>
      </w:r>
      <w:r w:rsidRPr="00257E5B">
        <w:t xml:space="preserve"> ineffective</w:t>
      </w:r>
      <w:r w:rsidR="00B308E1">
        <w:t xml:space="preserve">, as has the </w:t>
      </w:r>
      <w:r w:rsidR="00663979">
        <w:t xml:space="preserve">education in ‘correct operation’. The reality is that many wood heater owners know how to properly operate their wood heater but who is there </w:t>
      </w:r>
      <w:r w:rsidR="00AD6FF9">
        <w:t xml:space="preserve">when they decide to burn the damp wood because they ran of dry wood, or to burn rubbish because it is too cold to go outside the bin? Who is there when they decide to save money by allowing the fire to </w:t>
      </w:r>
      <w:proofErr w:type="gramStart"/>
      <w:r w:rsidR="00AD6FF9">
        <w:t>smoulder</w:t>
      </w:r>
      <w:proofErr w:type="gramEnd"/>
      <w:r w:rsidR="00AD6FF9">
        <w:t xml:space="preserve"> so it burns less wood? And even when ‘properly operated’ the fact is that burning wood produces particle pollution. </w:t>
      </w:r>
      <w:r w:rsidR="00317C56" w:rsidRPr="00257E5B">
        <w:t xml:space="preserve">Wood </w:t>
      </w:r>
      <w:r w:rsidR="00317C56" w:rsidRPr="00257E5B">
        <w:lastRenderedPageBreak/>
        <w:t>heater</w:t>
      </w:r>
      <w:r w:rsidR="003630FF" w:rsidRPr="00257E5B">
        <w:t>/fireplace</w:t>
      </w:r>
      <w:r w:rsidR="00317C56" w:rsidRPr="00257E5B">
        <w:t xml:space="preserve"> use often occurs in evening or weekends when council officers are unavailable. The </w:t>
      </w:r>
      <w:r w:rsidR="002E1256" w:rsidRPr="00257E5B">
        <w:t xml:space="preserve">burden of </w:t>
      </w:r>
      <w:r w:rsidR="00311506" w:rsidRPr="00257E5B">
        <w:t>monitoring</w:t>
      </w:r>
      <w:r w:rsidRPr="00257E5B">
        <w:t xml:space="preserve"> </w:t>
      </w:r>
      <w:r w:rsidR="00311506" w:rsidRPr="00257E5B">
        <w:t xml:space="preserve">smoke levels </w:t>
      </w:r>
      <w:r w:rsidR="00317C56" w:rsidRPr="00257E5B">
        <w:t xml:space="preserve">falls on neighbouring </w:t>
      </w:r>
      <w:r w:rsidR="00311506" w:rsidRPr="00257E5B">
        <w:t>residents</w:t>
      </w:r>
      <w:r w:rsidR="00317C56" w:rsidRPr="00257E5B">
        <w:t xml:space="preserve">, </w:t>
      </w:r>
      <w:r w:rsidR="00663979">
        <w:t xml:space="preserve">who obtain minimal support from their local council. </w:t>
      </w:r>
    </w:p>
    <w:p w14:paraId="4FE282DE" w14:textId="01AE9710" w:rsidR="00AD6FF9" w:rsidRPr="00AD6FF9" w:rsidRDefault="00AD6FF9" w:rsidP="00FD03C6">
      <w:pPr>
        <w:spacing w:before="240" w:after="120"/>
        <w:rPr>
          <w:b/>
          <w:bCs/>
        </w:rPr>
      </w:pPr>
      <w:r w:rsidRPr="00AD6FF9">
        <w:rPr>
          <w:b/>
          <w:bCs/>
        </w:rPr>
        <w:t>Support for clean air</w:t>
      </w:r>
    </w:p>
    <w:p w14:paraId="3C360517" w14:textId="043EE0B8" w:rsidR="00663979" w:rsidRPr="00AD6FF9" w:rsidRDefault="00B308E1" w:rsidP="00AD6FF9">
      <w:pPr>
        <w:pStyle w:val="ListParagraph"/>
        <w:numPr>
          <w:ilvl w:val="0"/>
          <w:numId w:val="14"/>
        </w:numPr>
        <w:contextualSpacing/>
      </w:pPr>
      <w:r>
        <w:t xml:space="preserve">Most people would support a phase out of wood heaters. </w:t>
      </w:r>
      <w:r w:rsidR="00663979" w:rsidRPr="00663979">
        <w:t>Asthma Australia</w:t>
      </w:r>
      <w:r w:rsidR="00663979">
        <w:t xml:space="preserve">’s </w:t>
      </w:r>
      <w:r w:rsidR="00663979" w:rsidRPr="00663979">
        <w:t xml:space="preserve">recently released nationally representative survey (n=25,000) </w:t>
      </w:r>
      <w:r w:rsidR="00663979">
        <w:t xml:space="preserve">finds </w:t>
      </w:r>
      <w:r w:rsidR="00663979" w:rsidRPr="00663979">
        <w:t xml:space="preserve">that </w:t>
      </w:r>
      <w:r w:rsidR="00663979" w:rsidRPr="00663979">
        <w:rPr>
          <w:b/>
          <w:bCs/>
        </w:rPr>
        <w:t>77% of people agree that woodfire heaters should not be allowed in urban or built-up areas</w:t>
      </w:r>
      <w:r w:rsidR="00663979" w:rsidRPr="00663979">
        <w:t xml:space="preserve"> and over half agree they should be phased out (55%) or banned completely (54%). For those with asthma support for a phase out was even higher - with 84 % agreeing they shouldn't be allowed in built up areas. </w:t>
      </w:r>
      <w:r w:rsidR="00663979">
        <w:t>T</w:t>
      </w:r>
      <w:r w:rsidR="00663979" w:rsidRPr="00663979">
        <w:t xml:space="preserve">his provides strong evidence of public support for measures to protect the health of the community from residential wood smoke pollution. For the full survey </w:t>
      </w:r>
      <w:r w:rsidR="00663979" w:rsidRPr="00663979">
        <w:t xml:space="preserve">– go to </w:t>
      </w:r>
      <w:hyperlink r:id="rId24" w:history="1">
        <w:r w:rsidR="00663979" w:rsidRPr="009521CB">
          <w:rPr>
            <w:rStyle w:val="Hyperlink"/>
          </w:rPr>
          <w:t>https://asthma.org.au/about-us/media/public-would-support-a-phase-out-of-woodfire-heaters/</w:t>
        </w:r>
      </w:hyperlink>
    </w:p>
    <w:p w14:paraId="3FAA8A18" w14:textId="2BD6B5CA" w:rsidR="00663979" w:rsidRPr="00AD6FF9" w:rsidRDefault="00AD6FF9" w:rsidP="00FD03C6">
      <w:pPr>
        <w:spacing w:before="240" w:after="120"/>
        <w:rPr>
          <w:b/>
          <w:bCs/>
        </w:rPr>
      </w:pPr>
      <w:r w:rsidRPr="00AD6FF9">
        <w:rPr>
          <w:b/>
          <w:bCs/>
        </w:rPr>
        <w:t>What would work to clear our air?</w:t>
      </w:r>
    </w:p>
    <w:p w14:paraId="0E9E0006" w14:textId="518D19FA" w:rsidR="00FC3105" w:rsidRPr="009A313A" w:rsidRDefault="00FC3105" w:rsidP="00FC3105">
      <w:pPr>
        <w:rPr>
          <w:shd w:val="clear" w:color="auto" w:fill="FFFFFF"/>
        </w:rPr>
      </w:pPr>
      <w:r w:rsidRPr="00AD6FF9">
        <w:rPr>
          <w:shd w:val="clear" w:color="auto" w:fill="FFFFFF"/>
        </w:rPr>
        <w:t>Implement a phase-out program with a target</w:t>
      </w:r>
      <w:r w:rsidRPr="009A313A">
        <w:rPr>
          <w:shd w:val="clear" w:color="auto" w:fill="FFFFFF"/>
        </w:rPr>
        <w:t xml:space="preserve"> date </w:t>
      </w:r>
      <w:r w:rsidR="00AD6FF9">
        <w:rPr>
          <w:shd w:val="clear" w:color="auto" w:fill="FFFFFF"/>
        </w:rPr>
        <w:t xml:space="preserve">and </w:t>
      </w:r>
      <w:r w:rsidRPr="009A313A">
        <w:rPr>
          <w:shd w:val="clear" w:color="auto" w:fill="FFFFFF"/>
        </w:rPr>
        <w:t>include:</w:t>
      </w:r>
    </w:p>
    <w:p w14:paraId="5E739007" w14:textId="77777777" w:rsidR="00FC3105" w:rsidRPr="00FA4C55" w:rsidRDefault="00FC3105" w:rsidP="00FC3105">
      <w:pPr>
        <w:pStyle w:val="ListParagraph"/>
        <w:numPr>
          <w:ilvl w:val="0"/>
          <w:numId w:val="16"/>
        </w:numPr>
        <w:spacing w:after="160" w:line="259" w:lineRule="auto"/>
        <w:contextualSpacing/>
        <w:rPr>
          <w:shd w:val="clear" w:color="auto" w:fill="FFFFFF"/>
        </w:rPr>
      </w:pPr>
      <w:r>
        <w:rPr>
          <w:b/>
          <w:bCs/>
          <w:shd w:val="clear" w:color="auto" w:fill="FFFFFF"/>
        </w:rPr>
        <w:t>P</w:t>
      </w:r>
      <w:r w:rsidRPr="00FA4C55">
        <w:rPr>
          <w:b/>
          <w:bCs/>
          <w:shd w:val="clear" w:color="auto" w:fill="FFFFFF"/>
        </w:rPr>
        <w:t>rohibit new wood heaters being installed:</w:t>
      </w:r>
      <w:r w:rsidRPr="00FA4C55">
        <w:rPr>
          <w:shd w:val="clear" w:color="auto" w:fill="FFFFFF"/>
        </w:rPr>
        <w:t xml:space="preserve"> Legislation should be enacted to prevent wood heaters/fireplaces being installed and remove existing wood heaters/fireplaces upon the sale of a house. This costs the taxpayer nothing and helps to clear our air.</w:t>
      </w:r>
    </w:p>
    <w:p w14:paraId="12693453" w14:textId="77777777" w:rsidR="00FC3105" w:rsidRDefault="00FC3105" w:rsidP="00FC3105">
      <w:pPr>
        <w:pStyle w:val="ListParagraph"/>
        <w:numPr>
          <w:ilvl w:val="0"/>
          <w:numId w:val="16"/>
        </w:numPr>
        <w:spacing w:after="160" w:line="259" w:lineRule="auto"/>
        <w:contextualSpacing/>
        <w:rPr>
          <w:shd w:val="clear" w:color="auto" w:fill="FFFFFF"/>
        </w:rPr>
      </w:pPr>
      <w:r w:rsidRPr="00FA4C55">
        <w:rPr>
          <w:b/>
          <w:bCs/>
          <w:shd w:val="clear" w:color="auto" w:fill="FFFFFF"/>
        </w:rPr>
        <w:t>Provide a replacement scheme</w:t>
      </w:r>
      <w:r w:rsidRPr="00FA4C55">
        <w:rPr>
          <w:shd w:val="clear" w:color="auto" w:fill="FFFFFF"/>
        </w:rPr>
        <w:t xml:space="preserve">: Extend current subsidy </w:t>
      </w:r>
      <w:r>
        <w:rPr>
          <w:shd w:val="clear" w:color="auto" w:fill="FFFFFF"/>
        </w:rPr>
        <w:t>schemes</w:t>
      </w:r>
      <w:r w:rsidRPr="00FA4C55">
        <w:rPr>
          <w:shd w:val="clear" w:color="auto" w:fill="FFFFFF"/>
        </w:rPr>
        <w:t xml:space="preserve"> that aim to encourage households to switch to healthier heating options (</w:t>
      </w:r>
      <w:proofErr w:type="gramStart"/>
      <w:r w:rsidRPr="00FA4C55">
        <w:rPr>
          <w:shd w:val="clear" w:color="auto" w:fill="FFFFFF"/>
        </w:rPr>
        <w:t>i.e.</w:t>
      </w:r>
      <w:proofErr w:type="gramEnd"/>
      <w:r w:rsidRPr="00FA4C55">
        <w:rPr>
          <w:shd w:val="clear" w:color="auto" w:fill="FFFFFF"/>
        </w:rPr>
        <w:t xml:space="preserve"> sustainably sourced electric heating - cost efficient heat pumps) with a focus on ensuring households with wood heaters access the program as a first priority.</w:t>
      </w:r>
    </w:p>
    <w:p w14:paraId="690912CA" w14:textId="77777777" w:rsidR="00FC3105" w:rsidRPr="009A313A" w:rsidRDefault="00FC3105" w:rsidP="00FC3105">
      <w:pPr>
        <w:pStyle w:val="ListParagraph"/>
        <w:numPr>
          <w:ilvl w:val="0"/>
          <w:numId w:val="16"/>
        </w:numPr>
        <w:spacing w:after="160" w:line="259" w:lineRule="auto"/>
        <w:contextualSpacing/>
        <w:rPr>
          <w:shd w:val="clear" w:color="auto" w:fill="FFFFFF"/>
        </w:rPr>
      </w:pPr>
      <w:r w:rsidRPr="009A313A">
        <w:rPr>
          <w:b/>
          <w:bCs/>
          <w:shd w:val="clear" w:color="auto" w:fill="FFFFFF"/>
        </w:rPr>
        <w:t>Support the above with a widespread public education campaign.</w:t>
      </w:r>
      <w:r w:rsidRPr="009A313A">
        <w:rPr>
          <w:shd w:val="clear" w:color="auto" w:fill="FFFFFF"/>
        </w:rPr>
        <w:t xml:space="preserve"> Like campaigns that have been developed to encourage people to quit smoking, the campaign should highlight the risk to health posed by woodsmoke </w:t>
      </w:r>
      <w:proofErr w:type="gramStart"/>
      <w:r w:rsidRPr="009A313A">
        <w:rPr>
          <w:shd w:val="clear" w:color="auto" w:fill="FFFFFF"/>
        </w:rPr>
        <w:t>in order to</w:t>
      </w:r>
      <w:proofErr w:type="gramEnd"/>
      <w:r w:rsidRPr="009A313A">
        <w:rPr>
          <w:shd w:val="clear" w:color="auto" w:fill="FFFFFF"/>
        </w:rPr>
        <w:t xml:space="preserve"> raise levels of health literacy</w:t>
      </w:r>
      <w:r>
        <w:rPr>
          <w:shd w:val="clear" w:color="auto" w:fill="FFFFFF"/>
        </w:rPr>
        <w:t xml:space="preserve">. Asthma Australia have recommended a </w:t>
      </w:r>
      <w:hyperlink r:id="rId25" w:history="1">
        <w:r w:rsidRPr="009A313A">
          <w:rPr>
            <w:rStyle w:val="Hyperlink"/>
            <w:shd w:val="clear" w:color="auto" w:fill="FFFFFF"/>
          </w:rPr>
          <w:t>similar campaign</w:t>
        </w:r>
      </w:hyperlink>
      <w:r>
        <w:rPr>
          <w:shd w:val="clear" w:color="auto" w:fill="FFFFFF"/>
        </w:rPr>
        <w:t xml:space="preserve"> on air pollution.</w:t>
      </w:r>
    </w:p>
    <w:p w14:paraId="6BF1A3F7" w14:textId="77777777" w:rsidR="003630FF" w:rsidRDefault="003630FF" w:rsidP="00777DFA">
      <w:pPr>
        <w:contextualSpacing/>
      </w:pPr>
    </w:p>
    <w:p w14:paraId="692E1C78" w14:textId="1080A29B" w:rsidR="00777DFA" w:rsidRPr="006B3F6A" w:rsidRDefault="00777DFA"/>
    <w:sectPr w:rsidR="00777DFA" w:rsidRPr="006B3F6A" w:rsidSect="003E13F9">
      <w:endnotePr>
        <w:numFmt w:val="decimal"/>
      </w:endnotePr>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949E" w14:textId="77777777" w:rsidR="00C16B43" w:rsidRDefault="00C16B43" w:rsidP="00687766">
      <w:pPr>
        <w:spacing w:after="0" w:line="240" w:lineRule="auto"/>
      </w:pPr>
      <w:r>
        <w:separator/>
      </w:r>
    </w:p>
  </w:endnote>
  <w:endnote w:type="continuationSeparator" w:id="0">
    <w:p w14:paraId="6A4BAAE3" w14:textId="77777777" w:rsidR="00C16B43" w:rsidRDefault="00C16B43" w:rsidP="0068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BA88" w14:textId="77777777" w:rsidR="00C16B43" w:rsidRDefault="00C16B43" w:rsidP="00687766">
      <w:pPr>
        <w:spacing w:after="0" w:line="240" w:lineRule="auto"/>
      </w:pPr>
      <w:r>
        <w:separator/>
      </w:r>
    </w:p>
  </w:footnote>
  <w:footnote w:type="continuationSeparator" w:id="0">
    <w:p w14:paraId="5ED87C55" w14:textId="77777777" w:rsidR="00C16B43" w:rsidRDefault="00C16B43" w:rsidP="00687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487"/>
    <w:multiLevelType w:val="hybridMultilevel"/>
    <w:tmpl w:val="5232D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E65FAD"/>
    <w:multiLevelType w:val="hybridMultilevel"/>
    <w:tmpl w:val="7884B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0E025A"/>
    <w:multiLevelType w:val="hybridMultilevel"/>
    <w:tmpl w:val="B5DE7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4F49B1"/>
    <w:multiLevelType w:val="hybridMultilevel"/>
    <w:tmpl w:val="BAAC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047E5"/>
    <w:multiLevelType w:val="hybridMultilevel"/>
    <w:tmpl w:val="E04C8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B40C44"/>
    <w:multiLevelType w:val="hybridMultilevel"/>
    <w:tmpl w:val="5A12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844A22"/>
    <w:multiLevelType w:val="hybridMultilevel"/>
    <w:tmpl w:val="87AC3D20"/>
    <w:lvl w:ilvl="0" w:tplc="F1F265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905964"/>
    <w:multiLevelType w:val="hybridMultilevel"/>
    <w:tmpl w:val="4D60F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B72B04"/>
    <w:multiLevelType w:val="hybridMultilevel"/>
    <w:tmpl w:val="FE58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E220D7"/>
    <w:multiLevelType w:val="hybridMultilevel"/>
    <w:tmpl w:val="3488B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9A0AF7"/>
    <w:multiLevelType w:val="hybridMultilevel"/>
    <w:tmpl w:val="5D60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B96A32"/>
    <w:multiLevelType w:val="hybridMultilevel"/>
    <w:tmpl w:val="C0EE1C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E021FD"/>
    <w:multiLevelType w:val="hybridMultilevel"/>
    <w:tmpl w:val="4EBA9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AC249C"/>
    <w:multiLevelType w:val="hybridMultilevel"/>
    <w:tmpl w:val="796E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DE4593"/>
    <w:multiLevelType w:val="hybridMultilevel"/>
    <w:tmpl w:val="DCBE1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9"/>
  </w:num>
  <w:num w:numId="4">
    <w:abstractNumId w:val="2"/>
  </w:num>
  <w:num w:numId="5">
    <w:abstractNumId w:val="12"/>
  </w:num>
  <w:num w:numId="6">
    <w:abstractNumId w:val="1"/>
  </w:num>
  <w:num w:numId="7">
    <w:abstractNumId w:val="5"/>
  </w:num>
  <w:num w:numId="8">
    <w:abstractNumId w:val="13"/>
  </w:num>
  <w:num w:numId="9">
    <w:abstractNumId w:val="4"/>
  </w:num>
  <w:num w:numId="10">
    <w:abstractNumId w:val="7"/>
  </w:num>
  <w:num w:numId="11">
    <w:abstractNumId w:val="14"/>
  </w:num>
  <w:num w:numId="12">
    <w:abstractNumId w:val="0"/>
  </w:num>
  <w:num w:numId="13">
    <w:abstractNumId w:val="3"/>
  </w:num>
  <w:num w:numId="14">
    <w:abstractNumId w:val="10"/>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87"/>
    <w:rsid w:val="00035B5B"/>
    <w:rsid w:val="00041210"/>
    <w:rsid w:val="00053474"/>
    <w:rsid w:val="00081F4C"/>
    <w:rsid w:val="000D1F07"/>
    <w:rsid w:val="000E7757"/>
    <w:rsid w:val="000F6C51"/>
    <w:rsid w:val="001302F0"/>
    <w:rsid w:val="001355DF"/>
    <w:rsid w:val="001637E2"/>
    <w:rsid w:val="00163BBC"/>
    <w:rsid w:val="001A05D6"/>
    <w:rsid w:val="00200614"/>
    <w:rsid w:val="00241D0B"/>
    <w:rsid w:val="00257E5B"/>
    <w:rsid w:val="002769FA"/>
    <w:rsid w:val="00291B74"/>
    <w:rsid w:val="002924EF"/>
    <w:rsid w:val="002D3400"/>
    <w:rsid w:val="002E1256"/>
    <w:rsid w:val="002E6BED"/>
    <w:rsid w:val="00311506"/>
    <w:rsid w:val="00317C56"/>
    <w:rsid w:val="003327AF"/>
    <w:rsid w:val="003335E5"/>
    <w:rsid w:val="00354FA2"/>
    <w:rsid w:val="003630FF"/>
    <w:rsid w:val="00364953"/>
    <w:rsid w:val="003A2A0C"/>
    <w:rsid w:val="003C7B01"/>
    <w:rsid w:val="003E13F9"/>
    <w:rsid w:val="003F55FE"/>
    <w:rsid w:val="00445127"/>
    <w:rsid w:val="00456907"/>
    <w:rsid w:val="00497BD4"/>
    <w:rsid w:val="004B0FAC"/>
    <w:rsid w:val="005039F5"/>
    <w:rsid w:val="00506C1F"/>
    <w:rsid w:val="00515686"/>
    <w:rsid w:val="005223D4"/>
    <w:rsid w:val="00540196"/>
    <w:rsid w:val="005516A8"/>
    <w:rsid w:val="0056194F"/>
    <w:rsid w:val="00574195"/>
    <w:rsid w:val="005E0522"/>
    <w:rsid w:val="005E263D"/>
    <w:rsid w:val="00604178"/>
    <w:rsid w:val="0063255B"/>
    <w:rsid w:val="00655C00"/>
    <w:rsid w:val="00663979"/>
    <w:rsid w:val="00687766"/>
    <w:rsid w:val="006947DA"/>
    <w:rsid w:val="006977CF"/>
    <w:rsid w:val="006A03A3"/>
    <w:rsid w:val="006B3F6A"/>
    <w:rsid w:val="007022CD"/>
    <w:rsid w:val="00704D1B"/>
    <w:rsid w:val="0070776E"/>
    <w:rsid w:val="00761BD7"/>
    <w:rsid w:val="00777DFA"/>
    <w:rsid w:val="007809D9"/>
    <w:rsid w:val="00797269"/>
    <w:rsid w:val="00797F97"/>
    <w:rsid w:val="008213B3"/>
    <w:rsid w:val="008546D7"/>
    <w:rsid w:val="00890554"/>
    <w:rsid w:val="008D523F"/>
    <w:rsid w:val="008F01F3"/>
    <w:rsid w:val="009304E9"/>
    <w:rsid w:val="0094316C"/>
    <w:rsid w:val="00981C14"/>
    <w:rsid w:val="009A4D94"/>
    <w:rsid w:val="009B3C5A"/>
    <w:rsid w:val="009E43F9"/>
    <w:rsid w:val="009E4445"/>
    <w:rsid w:val="00A27B3E"/>
    <w:rsid w:val="00A556DF"/>
    <w:rsid w:val="00A74134"/>
    <w:rsid w:val="00AA101F"/>
    <w:rsid w:val="00AD6FF9"/>
    <w:rsid w:val="00AF7E88"/>
    <w:rsid w:val="00B06BE6"/>
    <w:rsid w:val="00B21163"/>
    <w:rsid w:val="00B300E8"/>
    <w:rsid w:val="00B308E1"/>
    <w:rsid w:val="00B45A86"/>
    <w:rsid w:val="00B57BC3"/>
    <w:rsid w:val="00BC7D99"/>
    <w:rsid w:val="00BE5529"/>
    <w:rsid w:val="00BF200B"/>
    <w:rsid w:val="00C01206"/>
    <w:rsid w:val="00C04B31"/>
    <w:rsid w:val="00C16B43"/>
    <w:rsid w:val="00C64087"/>
    <w:rsid w:val="00C70F5B"/>
    <w:rsid w:val="00C73818"/>
    <w:rsid w:val="00CB56E8"/>
    <w:rsid w:val="00CE3A07"/>
    <w:rsid w:val="00CF1D8C"/>
    <w:rsid w:val="00CF4F5F"/>
    <w:rsid w:val="00D06150"/>
    <w:rsid w:val="00D15247"/>
    <w:rsid w:val="00D24447"/>
    <w:rsid w:val="00D73519"/>
    <w:rsid w:val="00D77FB6"/>
    <w:rsid w:val="00DA3484"/>
    <w:rsid w:val="00DD0E06"/>
    <w:rsid w:val="00DD413F"/>
    <w:rsid w:val="00DF680F"/>
    <w:rsid w:val="00E048DD"/>
    <w:rsid w:val="00E05F1D"/>
    <w:rsid w:val="00E13CE9"/>
    <w:rsid w:val="00E24723"/>
    <w:rsid w:val="00E37807"/>
    <w:rsid w:val="00E42C75"/>
    <w:rsid w:val="00E623ED"/>
    <w:rsid w:val="00E8670B"/>
    <w:rsid w:val="00EA2279"/>
    <w:rsid w:val="00EC1228"/>
    <w:rsid w:val="00EE188E"/>
    <w:rsid w:val="00EE63C7"/>
    <w:rsid w:val="00F075B7"/>
    <w:rsid w:val="00F13F2A"/>
    <w:rsid w:val="00F321C9"/>
    <w:rsid w:val="00F36080"/>
    <w:rsid w:val="00F37FDD"/>
    <w:rsid w:val="00F4054D"/>
    <w:rsid w:val="00F73187"/>
    <w:rsid w:val="00F75A7E"/>
    <w:rsid w:val="00F83F8B"/>
    <w:rsid w:val="00FA00C1"/>
    <w:rsid w:val="00FB3E3D"/>
    <w:rsid w:val="00FC1036"/>
    <w:rsid w:val="00FC3105"/>
    <w:rsid w:val="00FD03C6"/>
    <w:rsid w:val="00FD04B7"/>
    <w:rsid w:val="00FD64B2"/>
    <w:rsid w:val="00FE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1069"/>
  <w15:docId w15:val="{2A894AB2-545C-41CC-A1F2-F171A9EC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0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335E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18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73187"/>
    <w:pPr>
      <w:spacing w:after="0" w:line="240" w:lineRule="auto"/>
      <w:ind w:left="720"/>
    </w:pPr>
    <w:rPr>
      <w:rFonts w:ascii="Calibri" w:hAnsi="Calibri" w:cs="Times New Roman"/>
    </w:rPr>
  </w:style>
  <w:style w:type="paragraph" w:customStyle="1" w:styleId="font8">
    <w:name w:val="font_8"/>
    <w:basedOn w:val="Normal"/>
    <w:rsid w:val="00E05F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5F1D"/>
    <w:rPr>
      <w:color w:val="0000FF" w:themeColor="hyperlink"/>
      <w:u w:val="single"/>
    </w:rPr>
  </w:style>
  <w:style w:type="character" w:styleId="UnresolvedMention">
    <w:name w:val="Unresolved Mention"/>
    <w:basedOn w:val="DefaultParagraphFont"/>
    <w:uiPriority w:val="99"/>
    <w:semiHidden/>
    <w:unhideWhenUsed/>
    <w:rsid w:val="00E05F1D"/>
    <w:rPr>
      <w:color w:val="605E5C"/>
      <w:shd w:val="clear" w:color="auto" w:fill="E1DFDD"/>
    </w:rPr>
  </w:style>
  <w:style w:type="paragraph" w:styleId="Header">
    <w:name w:val="header"/>
    <w:basedOn w:val="Normal"/>
    <w:link w:val="HeaderChar"/>
    <w:uiPriority w:val="99"/>
    <w:unhideWhenUsed/>
    <w:rsid w:val="00687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766"/>
  </w:style>
  <w:style w:type="paragraph" w:styleId="Footer">
    <w:name w:val="footer"/>
    <w:basedOn w:val="Normal"/>
    <w:link w:val="FooterChar"/>
    <w:uiPriority w:val="99"/>
    <w:unhideWhenUsed/>
    <w:rsid w:val="00687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766"/>
  </w:style>
  <w:style w:type="character" w:customStyle="1" w:styleId="Heading2Char">
    <w:name w:val="Heading 2 Char"/>
    <w:basedOn w:val="DefaultParagraphFont"/>
    <w:link w:val="Heading2"/>
    <w:uiPriority w:val="9"/>
    <w:semiHidden/>
    <w:rsid w:val="003335E5"/>
    <w:rPr>
      <w:rFonts w:asciiTheme="majorHAnsi" w:eastAsiaTheme="majorEastAsia" w:hAnsiTheme="majorHAnsi" w:cstheme="majorBidi"/>
      <w:color w:val="365F91" w:themeColor="accent1" w:themeShade="BF"/>
      <w:sz w:val="26"/>
      <w:szCs w:val="26"/>
    </w:rPr>
  </w:style>
  <w:style w:type="character" w:styleId="EndnoteReference">
    <w:name w:val="endnote reference"/>
    <w:basedOn w:val="DefaultParagraphFont"/>
    <w:unhideWhenUsed/>
    <w:rsid w:val="003335E5"/>
    <w:rPr>
      <w:vertAlign w:val="superscript"/>
    </w:rPr>
  </w:style>
  <w:style w:type="paragraph" w:customStyle="1" w:styleId="Body">
    <w:name w:val="Body"/>
    <w:rsid w:val="003335E5"/>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n-AU"/>
      <w14:textOutline w14:w="0" w14:cap="flat" w14:cmpd="sng" w14:algn="ctr">
        <w14:noFill/>
        <w14:prstDash w14:val="solid"/>
        <w14:bevel/>
      </w14:textOutline>
    </w:rPr>
  </w:style>
  <w:style w:type="character" w:customStyle="1" w:styleId="Hyperlink0">
    <w:name w:val="Hyperlink.0"/>
    <w:basedOn w:val="Hyperlink"/>
    <w:rsid w:val="003335E5"/>
    <w:rPr>
      <w:color w:val="0000FF"/>
      <w:u w:val="single" w:color="0000FF"/>
      <w14:textOutline w14:w="0" w14:cap="rnd" w14:cmpd="sng" w14:algn="ctr">
        <w14:noFill/>
        <w14:prstDash w14:val="solid"/>
        <w14:bevel/>
      </w14:textOutline>
    </w:rPr>
  </w:style>
  <w:style w:type="character" w:customStyle="1" w:styleId="None">
    <w:name w:val="None"/>
    <w:rsid w:val="003335E5"/>
  </w:style>
  <w:style w:type="paragraph" w:styleId="EndnoteText">
    <w:name w:val="endnote text"/>
    <w:basedOn w:val="Normal"/>
    <w:link w:val="EndnoteTextChar"/>
    <w:unhideWhenUsed/>
    <w:rsid w:val="003335E5"/>
    <w:pPr>
      <w:spacing w:after="0" w:line="240" w:lineRule="auto"/>
    </w:pPr>
    <w:rPr>
      <w:sz w:val="20"/>
      <w:szCs w:val="20"/>
    </w:rPr>
  </w:style>
  <w:style w:type="character" w:customStyle="1" w:styleId="EndnoteTextChar">
    <w:name w:val="Endnote Text Char"/>
    <w:basedOn w:val="DefaultParagraphFont"/>
    <w:link w:val="EndnoteText"/>
    <w:rsid w:val="003335E5"/>
    <w:rPr>
      <w:sz w:val="20"/>
      <w:szCs w:val="20"/>
    </w:rPr>
  </w:style>
  <w:style w:type="character" w:customStyle="1" w:styleId="Hyperlink1">
    <w:name w:val="Hyperlink.1"/>
    <w:basedOn w:val="None"/>
    <w:rsid w:val="003335E5"/>
    <w:rPr>
      <w:rFonts w:ascii="Arial" w:eastAsia="Arial" w:hAnsi="Arial" w:cs="Arial"/>
      <w:sz w:val="18"/>
      <w:szCs w:val="18"/>
    </w:rPr>
  </w:style>
  <w:style w:type="character" w:customStyle="1" w:styleId="wixguard">
    <w:name w:val="wixguard"/>
    <w:basedOn w:val="DefaultParagraphFont"/>
    <w:rsid w:val="00FD64B2"/>
  </w:style>
  <w:style w:type="character" w:customStyle="1" w:styleId="Heading1Char">
    <w:name w:val="Heading 1 Char"/>
    <w:basedOn w:val="DefaultParagraphFont"/>
    <w:link w:val="Heading1"/>
    <w:uiPriority w:val="9"/>
    <w:rsid w:val="001A05D6"/>
    <w:rPr>
      <w:rFonts w:ascii="Times New Roman" w:eastAsia="Times New Roman" w:hAnsi="Times New Roman" w:cs="Times New Roman"/>
      <w:b/>
      <w:bCs/>
      <w:kern w:val="36"/>
      <w:sz w:val="48"/>
      <w:szCs w:val="48"/>
    </w:rPr>
  </w:style>
  <w:style w:type="character" w:customStyle="1" w:styleId="epub-state">
    <w:name w:val="epub-state"/>
    <w:basedOn w:val="DefaultParagraphFont"/>
    <w:rsid w:val="001A05D6"/>
  </w:style>
  <w:style w:type="character" w:customStyle="1" w:styleId="epub-date">
    <w:name w:val="epub-date"/>
    <w:basedOn w:val="DefaultParagraphFont"/>
    <w:rsid w:val="001A05D6"/>
  </w:style>
  <w:style w:type="character" w:styleId="FollowedHyperlink">
    <w:name w:val="FollowedHyperlink"/>
    <w:basedOn w:val="DefaultParagraphFont"/>
    <w:uiPriority w:val="99"/>
    <w:semiHidden/>
    <w:unhideWhenUsed/>
    <w:rsid w:val="00FB3E3D"/>
    <w:rPr>
      <w:color w:val="800080" w:themeColor="followedHyperlink"/>
      <w:u w:val="single"/>
    </w:rPr>
  </w:style>
  <w:style w:type="paragraph" w:customStyle="1" w:styleId="gmail-msonormal">
    <w:name w:val="gmail-msonormal"/>
    <w:basedOn w:val="Normal"/>
    <w:rsid w:val="003630F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30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6580">
      <w:bodyDiv w:val="1"/>
      <w:marLeft w:val="0"/>
      <w:marRight w:val="0"/>
      <w:marTop w:val="0"/>
      <w:marBottom w:val="0"/>
      <w:divBdr>
        <w:top w:val="none" w:sz="0" w:space="0" w:color="auto"/>
        <w:left w:val="none" w:sz="0" w:space="0" w:color="auto"/>
        <w:bottom w:val="none" w:sz="0" w:space="0" w:color="auto"/>
        <w:right w:val="none" w:sz="0" w:space="0" w:color="auto"/>
      </w:divBdr>
    </w:div>
    <w:div w:id="287781950">
      <w:bodyDiv w:val="1"/>
      <w:marLeft w:val="0"/>
      <w:marRight w:val="0"/>
      <w:marTop w:val="0"/>
      <w:marBottom w:val="0"/>
      <w:divBdr>
        <w:top w:val="none" w:sz="0" w:space="0" w:color="auto"/>
        <w:left w:val="none" w:sz="0" w:space="0" w:color="auto"/>
        <w:bottom w:val="none" w:sz="0" w:space="0" w:color="auto"/>
        <w:right w:val="none" w:sz="0" w:space="0" w:color="auto"/>
      </w:divBdr>
    </w:div>
    <w:div w:id="492642227">
      <w:bodyDiv w:val="1"/>
      <w:marLeft w:val="0"/>
      <w:marRight w:val="0"/>
      <w:marTop w:val="0"/>
      <w:marBottom w:val="0"/>
      <w:divBdr>
        <w:top w:val="none" w:sz="0" w:space="0" w:color="auto"/>
        <w:left w:val="none" w:sz="0" w:space="0" w:color="auto"/>
        <w:bottom w:val="none" w:sz="0" w:space="0" w:color="auto"/>
        <w:right w:val="none" w:sz="0" w:space="0" w:color="auto"/>
      </w:divBdr>
    </w:div>
    <w:div w:id="511605364">
      <w:bodyDiv w:val="1"/>
      <w:marLeft w:val="0"/>
      <w:marRight w:val="0"/>
      <w:marTop w:val="0"/>
      <w:marBottom w:val="0"/>
      <w:divBdr>
        <w:top w:val="none" w:sz="0" w:space="0" w:color="auto"/>
        <w:left w:val="none" w:sz="0" w:space="0" w:color="auto"/>
        <w:bottom w:val="none" w:sz="0" w:space="0" w:color="auto"/>
        <w:right w:val="none" w:sz="0" w:space="0" w:color="auto"/>
      </w:divBdr>
    </w:div>
    <w:div w:id="783227376">
      <w:bodyDiv w:val="1"/>
      <w:marLeft w:val="0"/>
      <w:marRight w:val="0"/>
      <w:marTop w:val="0"/>
      <w:marBottom w:val="0"/>
      <w:divBdr>
        <w:top w:val="none" w:sz="0" w:space="0" w:color="auto"/>
        <w:left w:val="none" w:sz="0" w:space="0" w:color="auto"/>
        <w:bottom w:val="none" w:sz="0" w:space="0" w:color="auto"/>
        <w:right w:val="none" w:sz="0" w:space="0" w:color="auto"/>
      </w:divBdr>
    </w:div>
    <w:div w:id="1521236048">
      <w:bodyDiv w:val="1"/>
      <w:marLeft w:val="0"/>
      <w:marRight w:val="0"/>
      <w:marTop w:val="0"/>
      <w:marBottom w:val="0"/>
      <w:divBdr>
        <w:top w:val="none" w:sz="0" w:space="0" w:color="auto"/>
        <w:left w:val="none" w:sz="0" w:space="0" w:color="auto"/>
        <w:bottom w:val="none" w:sz="0" w:space="0" w:color="auto"/>
        <w:right w:val="none" w:sz="0" w:space="0" w:color="auto"/>
      </w:divBdr>
    </w:div>
    <w:div w:id="1556551144">
      <w:bodyDiv w:val="1"/>
      <w:marLeft w:val="0"/>
      <w:marRight w:val="0"/>
      <w:marTop w:val="0"/>
      <w:marBottom w:val="0"/>
      <w:divBdr>
        <w:top w:val="none" w:sz="0" w:space="0" w:color="auto"/>
        <w:left w:val="none" w:sz="0" w:space="0" w:color="auto"/>
        <w:bottom w:val="none" w:sz="0" w:space="0" w:color="auto"/>
        <w:right w:val="none" w:sz="0" w:space="0" w:color="auto"/>
      </w:divBdr>
    </w:div>
    <w:div w:id="1573929133">
      <w:bodyDiv w:val="1"/>
      <w:marLeft w:val="0"/>
      <w:marRight w:val="0"/>
      <w:marTop w:val="0"/>
      <w:marBottom w:val="0"/>
      <w:divBdr>
        <w:top w:val="none" w:sz="0" w:space="0" w:color="auto"/>
        <w:left w:val="none" w:sz="0" w:space="0" w:color="auto"/>
        <w:bottom w:val="none" w:sz="0" w:space="0" w:color="auto"/>
        <w:right w:val="none" w:sz="0" w:space="0" w:color="auto"/>
      </w:divBdr>
    </w:div>
    <w:div w:id="1618876865">
      <w:bodyDiv w:val="1"/>
      <w:marLeft w:val="0"/>
      <w:marRight w:val="0"/>
      <w:marTop w:val="0"/>
      <w:marBottom w:val="0"/>
      <w:divBdr>
        <w:top w:val="none" w:sz="0" w:space="0" w:color="auto"/>
        <w:left w:val="none" w:sz="0" w:space="0" w:color="auto"/>
        <w:bottom w:val="none" w:sz="0" w:space="0" w:color="auto"/>
        <w:right w:val="none" w:sz="0" w:space="0" w:color="auto"/>
      </w:divBdr>
      <w:divsChild>
        <w:div w:id="197670724">
          <w:marLeft w:val="0"/>
          <w:marRight w:val="0"/>
          <w:marTop w:val="225"/>
          <w:marBottom w:val="225"/>
          <w:divBdr>
            <w:top w:val="none" w:sz="0" w:space="0" w:color="auto"/>
            <w:left w:val="none" w:sz="0" w:space="0" w:color="auto"/>
            <w:bottom w:val="none" w:sz="0" w:space="0" w:color="auto"/>
            <w:right w:val="none" w:sz="0" w:space="0" w:color="auto"/>
          </w:divBdr>
          <w:divsChild>
            <w:div w:id="1955823562">
              <w:marLeft w:val="0"/>
              <w:marRight w:val="0"/>
              <w:marTop w:val="0"/>
              <w:marBottom w:val="0"/>
              <w:divBdr>
                <w:top w:val="none" w:sz="0" w:space="0" w:color="auto"/>
                <w:left w:val="none" w:sz="0" w:space="0" w:color="auto"/>
                <w:bottom w:val="none" w:sz="0" w:space="0" w:color="auto"/>
                <w:right w:val="none" w:sz="0" w:space="0" w:color="auto"/>
              </w:divBdr>
              <w:divsChild>
                <w:div w:id="663432398">
                  <w:marLeft w:val="0"/>
                  <w:marRight w:val="0"/>
                  <w:marTop w:val="0"/>
                  <w:marBottom w:val="0"/>
                  <w:divBdr>
                    <w:top w:val="none" w:sz="0" w:space="0" w:color="auto"/>
                    <w:left w:val="none" w:sz="0" w:space="0" w:color="auto"/>
                    <w:bottom w:val="none" w:sz="0" w:space="0" w:color="auto"/>
                    <w:right w:val="none" w:sz="0" w:space="0" w:color="auto"/>
                  </w:divBdr>
                  <w:divsChild>
                    <w:div w:id="1719276537">
                      <w:marLeft w:val="0"/>
                      <w:marRight w:val="0"/>
                      <w:marTop w:val="0"/>
                      <w:marBottom w:val="0"/>
                      <w:divBdr>
                        <w:top w:val="none" w:sz="0" w:space="0" w:color="auto"/>
                        <w:left w:val="none" w:sz="0" w:space="0" w:color="auto"/>
                        <w:bottom w:val="none" w:sz="0" w:space="0" w:color="auto"/>
                        <w:right w:val="none" w:sz="0" w:space="0" w:color="auto"/>
                      </w:divBdr>
                    </w:div>
                    <w:div w:id="1255285768">
                      <w:marLeft w:val="0"/>
                      <w:marRight w:val="0"/>
                      <w:marTop w:val="0"/>
                      <w:marBottom w:val="0"/>
                      <w:divBdr>
                        <w:top w:val="none" w:sz="0" w:space="0" w:color="auto"/>
                        <w:left w:val="none" w:sz="0" w:space="0" w:color="auto"/>
                        <w:bottom w:val="none" w:sz="0" w:space="0" w:color="auto"/>
                        <w:right w:val="none" w:sz="0" w:space="0" w:color="auto"/>
                      </w:divBdr>
                    </w:div>
                    <w:div w:id="1335112979">
                      <w:marLeft w:val="0"/>
                      <w:marRight w:val="0"/>
                      <w:marTop w:val="0"/>
                      <w:marBottom w:val="0"/>
                      <w:divBdr>
                        <w:top w:val="none" w:sz="0" w:space="0" w:color="auto"/>
                        <w:left w:val="none" w:sz="0" w:space="0" w:color="auto"/>
                        <w:bottom w:val="none" w:sz="0" w:space="0" w:color="auto"/>
                        <w:right w:val="none" w:sz="0" w:space="0" w:color="auto"/>
                      </w:divBdr>
                    </w:div>
                    <w:div w:id="7884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2770">
          <w:marLeft w:val="0"/>
          <w:marRight w:val="0"/>
          <w:marTop w:val="225"/>
          <w:marBottom w:val="225"/>
          <w:divBdr>
            <w:top w:val="none" w:sz="0" w:space="0" w:color="auto"/>
            <w:left w:val="none" w:sz="0" w:space="0" w:color="auto"/>
            <w:bottom w:val="none" w:sz="0" w:space="0" w:color="auto"/>
            <w:right w:val="none" w:sz="0" w:space="0" w:color="auto"/>
          </w:divBdr>
          <w:divsChild>
            <w:div w:id="875780006">
              <w:marLeft w:val="0"/>
              <w:marRight w:val="0"/>
              <w:marTop w:val="0"/>
              <w:marBottom w:val="0"/>
              <w:divBdr>
                <w:top w:val="none" w:sz="0" w:space="0" w:color="auto"/>
                <w:left w:val="none" w:sz="0" w:space="0" w:color="auto"/>
                <w:bottom w:val="none" w:sz="0" w:space="0" w:color="auto"/>
                <w:right w:val="none" w:sz="0" w:space="0" w:color="auto"/>
              </w:divBdr>
            </w:div>
            <w:div w:id="293293156">
              <w:marLeft w:val="0"/>
              <w:marRight w:val="0"/>
              <w:marTop w:val="0"/>
              <w:marBottom w:val="0"/>
              <w:divBdr>
                <w:top w:val="none" w:sz="0" w:space="0" w:color="auto"/>
                <w:left w:val="none" w:sz="0" w:space="0" w:color="auto"/>
                <w:bottom w:val="none" w:sz="0" w:space="0" w:color="auto"/>
                <w:right w:val="none" w:sz="0" w:space="0" w:color="auto"/>
              </w:divBdr>
            </w:div>
            <w:div w:id="12195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vic.gov.au/about-epa/publications/2028" TargetMode="External"/><Relationship Id="rId13" Type="http://schemas.openxmlformats.org/officeDocument/2006/relationships/hyperlink" Target="https://www.bmj.com/content/360/bmj.k167/rr-3" TargetMode="External"/><Relationship Id="rId18" Type="http://schemas.openxmlformats.org/officeDocument/2006/relationships/hyperlink" Target="https://www.aihw.gov.au/getmedia/f69a0bd9-16f5-48c1-8922-2ef7e904bd14/aihw-cdk-12-fact-sheet.pdf.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nvironment.nsw.gov.au/resources/air/WoodsmokeControlReport.pdf" TargetMode="External"/><Relationship Id="rId7" Type="http://schemas.openxmlformats.org/officeDocument/2006/relationships/endnotes" Target="endnotes.xml"/><Relationship Id="rId12" Type="http://schemas.openxmlformats.org/officeDocument/2006/relationships/hyperlink" Target="https://www.audit.vic.gov.au/report/improving-victorias-air-quality?section=" TargetMode="External"/><Relationship Id="rId17" Type="http://schemas.openxmlformats.org/officeDocument/2006/relationships/hyperlink" Target="https://envirojustice.org.au/sites/default/files/files/Air%20Summit%202015/Robinson_2014_AQCC_Woodsmoke_Health_Regulation.pdf" TargetMode="External"/><Relationship Id="rId25" Type="http://schemas.openxmlformats.org/officeDocument/2006/relationships/hyperlink" Target="https://asthma.org.au/about-us/media/new-national-health-campaign-on-air-genda/" TargetMode="External"/><Relationship Id="rId2" Type="http://schemas.openxmlformats.org/officeDocument/2006/relationships/numbering" Target="numbering.xml"/><Relationship Id="rId16" Type="http://schemas.openxmlformats.org/officeDocument/2006/relationships/hyperlink" Target="https://www.epa.vic.gov.au/about-epa/publications/954" TargetMode="External"/><Relationship Id="rId20" Type="http://schemas.openxmlformats.org/officeDocument/2006/relationships/hyperlink" Target="https://www.environment.gov.au/protection/air-quality/ambient-air-quality-ne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AUSSTATS/abs@.nsf/Lookup/4602.0.55.001Main+Features1Mar%202014?OpenDocument" TargetMode="External"/><Relationship Id="rId24" Type="http://schemas.openxmlformats.org/officeDocument/2006/relationships/hyperlink" Target="https://asthma.org.au/about-us/media/public-would-support-a-phase-out-of-woodfire-heaters/" TargetMode="External"/><Relationship Id="rId5" Type="http://schemas.openxmlformats.org/officeDocument/2006/relationships/webSettings" Target="webSettings.xml"/><Relationship Id="rId15" Type="http://schemas.openxmlformats.org/officeDocument/2006/relationships/hyperlink" Target="https://www.researchgate.net/publication/319301753_Emergency_department_visits_of_young_children_and_long-term_exposure_to_neighbourhood_smoke_from_household_heating_-_The_Growing_Up_in_New_Zealand_child_cohort_study" TargetMode="External"/><Relationship Id="rId23" Type="http://schemas.openxmlformats.org/officeDocument/2006/relationships/hyperlink" Target="https://link.springer.com/article/10.1007/s13595-013-0269-9" TargetMode="External"/><Relationship Id="rId10" Type="http://schemas.openxmlformats.org/officeDocument/2006/relationships/hyperlink" Target="https://www.environment.nsw.gov.au/-/media/OEH/Corporate-Site/Documents/Air/nsw-clean-air-strategy-2021-30-draft-for-consultation-210080.pdf" TargetMode="External"/><Relationship Id="rId19" Type="http://schemas.openxmlformats.org/officeDocument/2006/relationships/hyperlink" Target="https://www.who.int/news/item/22-09-2021-new-who-global-air-quality-guidelines-aim-to-save-millions-of-lives-from-air-pollution" TargetMode="External"/><Relationship Id="rId4" Type="http://schemas.openxmlformats.org/officeDocument/2006/relationships/settings" Target="settings.xml"/><Relationship Id="rId9" Type="http://schemas.openxmlformats.org/officeDocument/2006/relationships/hyperlink" Target="https://www.epa.vic.gov.au/about-epa/what-we-do/standards/variation-to-the-waste-management-policy-solid-fuel-heating" TargetMode="External"/><Relationship Id="rId14" Type="http://schemas.openxmlformats.org/officeDocument/2006/relationships/hyperlink" Target="https://www.who.int/news-room/fact-sheets/detail/ambient-(outdoor)-air-quality-and-health" TargetMode="External"/><Relationship Id="rId22" Type="http://schemas.openxmlformats.org/officeDocument/2006/relationships/hyperlink" Target="https://9afbdcab-a-62cb3a1a-s-sites.googlegroups.com/site/ausaqg/files/EHPC_NationalApproach_Reducing_WoodheaterEmissions_ScopingPaper.pdf?attachauth=ANoY7crZSJkN7_f0KmVs199qoTuUHm4WG0RfZHTChUaME5TuJmbjLV2zkKvfOJMJ4_DwYaEZ79UR-4FosdzNTCmsmB750gAUAPhwGwNoNyArlBhTPLWBjnSMzWPkpbedYrtZSNb3qw4hlfdtefR3ckY3irOEJl47TC2Plv7GSyP7w3iCPXOBDVC226dHUlCQ1eNkYN5o2I8kNO6RuyZjWLET2ezSwsV77Jl-AqywU4KL_Jx7d7cYTtPJRwcZFk7l3Z_t1wfh20jrchISSK7FPjdORTv_K54r3Eb0emLBAA10XmELbVpdAp0%3D&amp;attredirects=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544B-AEAB-43FB-B4C6-3A521C91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Liz</cp:lastModifiedBy>
  <cp:revision>2</cp:revision>
  <dcterms:created xsi:type="dcterms:W3CDTF">2021-11-07T09:29:00Z</dcterms:created>
  <dcterms:modified xsi:type="dcterms:W3CDTF">2021-11-07T09:29:00Z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2021-03-28T01:19:43Z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9f8841ef-4c3d-4b33-901c-655a08435b0c</vt:lpwstr>
  </property>
  <property fmtid="{D5CDD505-2E9C-101B-9397-08002B2CF9AE}" pid="8" name="MSIP_Label_3d6aa9fe-4ab7-4a7c-8e39-ccc0b3ffed53_ContentBits">
    <vt:lpwstr>0</vt:lpwstr>
  </property>
</Properties>
</file>